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461" w:type="dxa"/>
        <w:tblLook w:val="01E0" w:firstRow="1" w:lastRow="1" w:firstColumn="1" w:lastColumn="1" w:noHBand="0" w:noVBand="0"/>
      </w:tblPr>
      <w:tblGrid>
        <w:gridCol w:w="988"/>
        <w:gridCol w:w="1024"/>
        <w:gridCol w:w="2904"/>
        <w:gridCol w:w="2734"/>
        <w:gridCol w:w="2811"/>
      </w:tblGrid>
      <w:tr w:rsidR="00EF1584" w:rsidRPr="002E65C5" w14:paraId="3CB97FE5" w14:textId="77777777" w:rsidTr="000C447D">
        <w:tc>
          <w:tcPr>
            <w:tcW w:w="2012" w:type="dxa"/>
            <w:gridSpan w:val="2"/>
            <w:shd w:val="clear" w:color="auto" w:fill="006C76"/>
          </w:tcPr>
          <w:p w14:paraId="760944E4" w14:textId="77777777" w:rsidR="00EF1584" w:rsidRPr="00AD3BD7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bookmarkStart w:id="0" w:name="_Toc348844750"/>
            <w:bookmarkStart w:id="1" w:name="_Toc348844878"/>
            <w:bookmarkStart w:id="2" w:name="_Toc348845615"/>
            <w:bookmarkStart w:id="3" w:name="_Toc178577533"/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8449" w:type="dxa"/>
            <w:gridSpan w:val="3"/>
            <w:shd w:val="clear" w:color="auto" w:fill="006C76"/>
          </w:tcPr>
          <w:p w14:paraId="5CA4E386" w14:textId="77777777" w:rsidR="00EF1584" w:rsidRPr="00AD3BD7" w:rsidRDefault="00B90C27" w:rsidP="00B90C27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Senior People Partner</w:t>
            </w:r>
          </w:p>
        </w:tc>
      </w:tr>
      <w:tr w:rsidR="00EF1584" w:rsidRPr="002E65C5" w14:paraId="0D8E9C34" w14:textId="77777777" w:rsidTr="00DA1AB2">
        <w:tc>
          <w:tcPr>
            <w:tcW w:w="2012" w:type="dxa"/>
            <w:gridSpan w:val="2"/>
            <w:vMerge w:val="restart"/>
            <w:vAlign w:val="center"/>
          </w:tcPr>
          <w:p w14:paraId="336C4377" w14:textId="77777777" w:rsidR="00EF1584" w:rsidRPr="002E65C5" w:rsidRDefault="00EF1584" w:rsidP="00EF1584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E65C5">
              <w:rPr>
                <w:rFonts w:ascii="Century Gothic" w:hAnsi="Century Gothic" w:cs="Arial"/>
                <w:b/>
                <w:sz w:val="22"/>
                <w:szCs w:val="22"/>
              </w:rPr>
              <w:t>Business Area(s):</w:t>
            </w:r>
          </w:p>
        </w:tc>
        <w:tc>
          <w:tcPr>
            <w:tcW w:w="2904" w:type="dxa"/>
            <w:vAlign w:val="center"/>
          </w:tcPr>
          <w:p w14:paraId="5B650CD0" w14:textId="77777777" w:rsidR="00EF1584" w:rsidRPr="002E65C5" w:rsidRDefault="007B25B0" w:rsidP="00DA1AB2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People and Culture</w:t>
            </w:r>
          </w:p>
        </w:tc>
        <w:tc>
          <w:tcPr>
            <w:tcW w:w="2734" w:type="dxa"/>
            <w:vAlign w:val="center"/>
          </w:tcPr>
          <w:p w14:paraId="4EA96692" w14:textId="77777777" w:rsidR="00EF1584" w:rsidRPr="002E65C5" w:rsidRDefault="007B25B0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Human Resources</w:t>
            </w:r>
          </w:p>
        </w:tc>
        <w:tc>
          <w:tcPr>
            <w:tcW w:w="2811" w:type="dxa"/>
            <w:vAlign w:val="center"/>
          </w:tcPr>
          <w:p w14:paraId="53D0D52A" w14:textId="77777777" w:rsidR="00EF1584" w:rsidRPr="002E65C5" w:rsidRDefault="00DF56F1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Talent Management</w:t>
            </w:r>
          </w:p>
        </w:tc>
      </w:tr>
      <w:tr w:rsidR="00EF1584" w:rsidRPr="002E65C5" w14:paraId="009D8FB4" w14:textId="77777777" w:rsidTr="00DA1AB2">
        <w:tc>
          <w:tcPr>
            <w:tcW w:w="2012" w:type="dxa"/>
            <w:gridSpan w:val="2"/>
            <w:vMerge/>
            <w:tcBorders>
              <w:bottom w:val="single" w:sz="4" w:space="0" w:color="auto"/>
            </w:tcBorders>
          </w:tcPr>
          <w:p w14:paraId="330B389B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14:paraId="5087513F" w14:textId="77777777" w:rsidR="00EF1584" w:rsidRPr="002E65C5" w:rsidRDefault="005430CC" w:rsidP="00DA1AB2">
            <w:pPr>
              <w:ind w:right="2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L&amp;D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7244CDE7" w14:textId="77777777" w:rsidR="00EF1584" w:rsidRPr="002E65C5" w:rsidRDefault="00E52E9D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Corporate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549C05F6" w14:textId="77777777" w:rsidR="00EF1584" w:rsidRPr="002E65C5" w:rsidRDefault="00E52E9D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Employee Relations </w:t>
            </w:r>
          </w:p>
        </w:tc>
      </w:tr>
      <w:tr w:rsidR="00EF1584" w:rsidRPr="002E65C5" w14:paraId="5B1FFC8E" w14:textId="77777777" w:rsidTr="00967EBB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379E9DFE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F1584" w:rsidRPr="002E65C5" w14:paraId="584765FC" w14:textId="77777777" w:rsidTr="00AD3BD7">
        <w:tc>
          <w:tcPr>
            <w:tcW w:w="2012" w:type="dxa"/>
            <w:gridSpan w:val="2"/>
            <w:tcBorders>
              <w:bottom w:val="single" w:sz="4" w:space="0" w:color="auto"/>
            </w:tcBorders>
            <w:shd w:val="clear" w:color="auto" w:fill="006C76"/>
          </w:tcPr>
          <w:p w14:paraId="7528AC5F" w14:textId="77777777" w:rsidR="00EF1584" w:rsidRPr="00AD3BD7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Reports To: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  <w:shd w:val="clear" w:color="auto" w:fill="006C76"/>
          </w:tcPr>
          <w:p w14:paraId="3469C215" w14:textId="77777777" w:rsidR="00EF1584" w:rsidRPr="00AD3BD7" w:rsidRDefault="00311BAC" w:rsidP="00482693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C</w:t>
            </w:r>
            <w:r w:rsidR="004C32A4"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hief </w:t>
            </w:r>
            <w:r w:rsidR="00B90C2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Relations Officer</w:t>
            </w:r>
          </w:p>
        </w:tc>
      </w:tr>
      <w:tr w:rsidR="00EF1584" w:rsidRPr="002E65C5" w14:paraId="63A4F885" w14:textId="77777777" w:rsidTr="00967EBB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462063E4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7E9E" w:rsidRPr="002E65C5" w14:paraId="45DA0575" w14:textId="77777777" w:rsidTr="00967EBB">
        <w:trPr>
          <w:trHeight w:val="580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4ADEE639" w14:textId="77777777" w:rsidR="00537E9E" w:rsidRPr="002E65C5" w:rsidRDefault="00537E9E" w:rsidP="00537E9E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E65C5">
              <w:rPr>
                <w:rFonts w:ascii="Century Gothic" w:hAnsi="Century Gothic" w:cs="Arial"/>
                <w:b/>
                <w:sz w:val="22"/>
                <w:szCs w:val="22"/>
              </w:rPr>
              <w:t>Major Function: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</w:tcPr>
          <w:p w14:paraId="541B5D55" w14:textId="77777777" w:rsidR="00AC53FA" w:rsidRDefault="00AC53FA" w:rsidP="00E6146D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4E463E62" w14:textId="798D19B0" w:rsid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A00F5">
              <w:rPr>
                <w:rFonts w:ascii="Century Gothic" w:hAnsi="Century Gothic" w:cs="Arial"/>
                <w:sz w:val="22"/>
                <w:szCs w:val="22"/>
              </w:rPr>
              <w:t xml:space="preserve">The Senior People Partner plays a critical role in shaping and delivering the Group’s people, agenda across </w:t>
            </w:r>
            <w:r>
              <w:rPr>
                <w:rFonts w:ascii="Century Gothic" w:hAnsi="Century Gothic" w:cs="Arial"/>
                <w:sz w:val="22"/>
                <w:szCs w:val="22"/>
              </w:rPr>
              <w:t>their portfolio businesses.</w:t>
            </w:r>
          </w:p>
          <w:p w14:paraId="14114A11" w14:textId="77777777" w:rsidR="00EA00F5" w:rsidRP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0A612918" w14:textId="77777777" w:rsid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A00F5">
              <w:rPr>
                <w:rFonts w:ascii="Century Gothic" w:hAnsi="Century Gothic" w:cs="Arial"/>
                <w:sz w:val="22"/>
                <w:szCs w:val="22"/>
              </w:rPr>
              <w:t>Operating as a trusted strategic partner to Managing Directors, Portfolio CEOs and senior leaders, the role provides high</w:t>
            </w:r>
            <w:r w:rsidRPr="00EA00F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A00F5">
              <w:rPr>
                <w:rFonts w:ascii="Century Gothic" w:hAnsi="Century Gothic" w:cs="Arial"/>
                <w:sz w:val="22"/>
                <w:szCs w:val="22"/>
              </w:rPr>
              <w:t>impact people partnering while leading the identification, development and deployment of talent across the Group.</w:t>
            </w:r>
          </w:p>
          <w:p w14:paraId="6D6CFEC7" w14:textId="77777777" w:rsidR="00EA00F5" w:rsidRP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4C7221E9" w14:textId="07F46689" w:rsid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A00F5">
              <w:rPr>
                <w:rFonts w:ascii="Century Gothic" w:hAnsi="Century Gothic" w:cs="Arial"/>
                <w:sz w:val="22"/>
                <w:szCs w:val="22"/>
              </w:rPr>
              <w:t xml:space="preserve">The role combines senior HR business partnering capability with a </w:t>
            </w:r>
            <w:r>
              <w:rPr>
                <w:rFonts w:ascii="Century Gothic" w:hAnsi="Century Gothic" w:cs="Arial"/>
                <w:sz w:val="22"/>
                <w:szCs w:val="22"/>
              </w:rPr>
              <w:t>f</w:t>
            </w:r>
            <w:r w:rsidRPr="00EA00F5">
              <w:rPr>
                <w:rFonts w:ascii="Century Gothic" w:hAnsi="Century Gothic" w:cs="Arial"/>
                <w:sz w:val="22"/>
                <w:szCs w:val="22"/>
              </w:rPr>
              <w:t>ocus on succession planning, future capability, leveraging external providers and specialist partners where appropriate to ensure scalable, high</w:t>
            </w:r>
            <w:r w:rsidRPr="00EA00F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A00F5">
              <w:rPr>
                <w:rFonts w:ascii="Century Gothic" w:hAnsi="Century Gothic" w:cs="Arial"/>
                <w:sz w:val="22"/>
                <w:szCs w:val="22"/>
              </w:rPr>
              <w:t>quality delivery.</w:t>
            </w:r>
          </w:p>
          <w:p w14:paraId="303343FF" w14:textId="77777777" w:rsidR="00EA00F5" w:rsidRPr="00EA00F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5E5D8C3E" w14:textId="4E85D773" w:rsidR="00AC53FA" w:rsidRPr="002E65C5" w:rsidRDefault="00EA00F5" w:rsidP="00EA00F5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A00F5">
              <w:rPr>
                <w:rFonts w:ascii="Century Gothic" w:hAnsi="Century Gothic" w:cs="Arial"/>
                <w:sz w:val="22"/>
                <w:szCs w:val="22"/>
              </w:rPr>
              <w:t>Th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e </w:t>
            </w:r>
            <w:r w:rsidRPr="00EA00F5">
              <w:rPr>
                <w:rFonts w:ascii="Century Gothic" w:hAnsi="Century Gothic" w:cs="Arial"/>
                <w:sz w:val="22"/>
                <w:szCs w:val="22"/>
              </w:rPr>
              <w:t>Senior People Partner acts as a connector — aligning business strategy, people capability and leadership depth to support sustainable growth and organisational effectiveness.</w:t>
            </w:r>
          </w:p>
        </w:tc>
      </w:tr>
      <w:tr w:rsidR="00537E9E" w:rsidRPr="002E65C5" w14:paraId="383B8283" w14:textId="77777777" w:rsidTr="00AD3BD7">
        <w:tc>
          <w:tcPr>
            <w:tcW w:w="10461" w:type="dxa"/>
            <w:gridSpan w:val="5"/>
            <w:shd w:val="clear" w:color="auto" w:fill="006C76"/>
          </w:tcPr>
          <w:p w14:paraId="6F7D6293" w14:textId="77777777" w:rsidR="00537E9E" w:rsidRPr="002E65C5" w:rsidRDefault="00537E9E" w:rsidP="00A81CFB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Duties &amp; Responsibilities</w:t>
            </w:r>
          </w:p>
        </w:tc>
      </w:tr>
      <w:tr w:rsidR="00BE12DC" w:rsidRPr="002E65C5" w14:paraId="512B791B" w14:textId="77777777" w:rsidTr="001C5A7C">
        <w:trPr>
          <w:cantSplit/>
        </w:trPr>
        <w:tc>
          <w:tcPr>
            <w:tcW w:w="10461" w:type="dxa"/>
            <w:gridSpan w:val="5"/>
            <w:vAlign w:val="center"/>
          </w:tcPr>
          <w:p w14:paraId="5E0A9EA6" w14:textId="77777777" w:rsidR="00BE12DC" w:rsidRDefault="00BE12DC" w:rsidP="002C514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87535F2" w14:textId="7FA7272C" w:rsidR="00BE12DC" w:rsidRDefault="00D2762B" w:rsidP="002C514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People Partnering </w:t>
            </w:r>
          </w:p>
          <w:p w14:paraId="23A3777B" w14:textId="77777777" w:rsidR="00BE12DC" w:rsidRPr="00BE12DC" w:rsidRDefault="00BE12DC" w:rsidP="002C514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810FE1" w:rsidRPr="002E65C5" w14:paraId="4FC9F108" w14:textId="77777777" w:rsidTr="00971FC6">
        <w:trPr>
          <w:cantSplit/>
        </w:trPr>
        <w:tc>
          <w:tcPr>
            <w:tcW w:w="988" w:type="dxa"/>
            <w:vAlign w:val="center"/>
          </w:tcPr>
          <w:p w14:paraId="0BD1EF55" w14:textId="77777777" w:rsidR="00810FE1" w:rsidRPr="002E65C5" w:rsidRDefault="00810FE1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0FD74049" w14:textId="15F3868C" w:rsidR="00810FE1" w:rsidRPr="002E65C5" w:rsidRDefault="00EA00F5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A00F5">
              <w:rPr>
                <w:rFonts w:ascii="Century Gothic" w:hAnsi="Century Gothic"/>
                <w:sz w:val="22"/>
                <w:szCs w:val="22"/>
              </w:rPr>
              <w:t>Act as a senior trusted advisor to Managing Directors and senior leadership teams across portfolio businesses</w:t>
            </w:r>
          </w:p>
        </w:tc>
      </w:tr>
      <w:tr w:rsidR="005E56B2" w:rsidRPr="002E65C5" w14:paraId="3C496ADD" w14:textId="77777777" w:rsidTr="00971FC6">
        <w:trPr>
          <w:cantSplit/>
        </w:trPr>
        <w:tc>
          <w:tcPr>
            <w:tcW w:w="988" w:type="dxa"/>
            <w:vAlign w:val="center"/>
          </w:tcPr>
          <w:p w14:paraId="1130A8CF" w14:textId="77777777" w:rsidR="005E56B2" w:rsidRPr="002E65C5" w:rsidRDefault="005E56B2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2C8CC11" w14:textId="7909FF0F" w:rsidR="005E56B2" w:rsidRPr="002E65C5" w:rsidRDefault="00D378C3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378C3">
              <w:rPr>
                <w:rFonts w:ascii="Century Gothic" w:hAnsi="Century Gothic"/>
                <w:sz w:val="22"/>
                <w:szCs w:val="22"/>
              </w:rPr>
              <w:t>Support and guide on all employee relations matters, including investigations, disciplinary and grievance processes</w:t>
            </w:r>
          </w:p>
        </w:tc>
      </w:tr>
      <w:tr w:rsidR="00D378C3" w:rsidRPr="002E65C5" w14:paraId="4F5F1706" w14:textId="77777777" w:rsidTr="00971FC6">
        <w:trPr>
          <w:cantSplit/>
        </w:trPr>
        <w:tc>
          <w:tcPr>
            <w:tcW w:w="988" w:type="dxa"/>
            <w:vAlign w:val="center"/>
          </w:tcPr>
          <w:p w14:paraId="67956D16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A86C5CC" w14:textId="77777777" w:rsidR="00D378C3" w:rsidRPr="00D378C3" w:rsidRDefault="00B41979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41979">
              <w:rPr>
                <w:rFonts w:ascii="Century Gothic" w:hAnsi="Century Gothic"/>
                <w:sz w:val="22"/>
                <w:szCs w:val="22"/>
              </w:rPr>
              <w:t>Advise and coach managers in effective people management, employee engagement, and performance improvement</w:t>
            </w:r>
          </w:p>
        </w:tc>
      </w:tr>
      <w:tr w:rsidR="00D378C3" w:rsidRPr="002E65C5" w14:paraId="74AC0AE8" w14:textId="77777777" w:rsidTr="00971FC6">
        <w:trPr>
          <w:cantSplit/>
        </w:trPr>
        <w:tc>
          <w:tcPr>
            <w:tcW w:w="988" w:type="dxa"/>
            <w:vAlign w:val="center"/>
          </w:tcPr>
          <w:p w14:paraId="0E031AF2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82D809F" w14:textId="77777777" w:rsidR="00D378C3" w:rsidRPr="00D378C3" w:rsidRDefault="00D15894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15894">
              <w:rPr>
                <w:rFonts w:ascii="Century Gothic" w:hAnsi="Century Gothic"/>
                <w:sz w:val="22"/>
                <w:szCs w:val="22"/>
              </w:rPr>
              <w:t>Support organisational change initiatives including restructures, TUPE transfers, and integrations</w:t>
            </w:r>
          </w:p>
        </w:tc>
      </w:tr>
      <w:tr w:rsidR="00D378C3" w:rsidRPr="002E65C5" w14:paraId="78164198" w14:textId="77777777" w:rsidTr="00971FC6">
        <w:trPr>
          <w:cantSplit/>
        </w:trPr>
        <w:tc>
          <w:tcPr>
            <w:tcW w:w="988" w:type="dxa"/>
            <w:vAlign w:val="center"/>
          </w:tcPr>
          <w:p w14:paraId="072B5A80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53B897D" w14:textId="77777777" w:rsidR="00D378C3" w:rsidRPr="00D378C3" w:rsidRDefault="00D65004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65004">
              <w:rPr>
                <w:rFonts w:ascii="Century Gothic" w:hAnsi="Century Gothic"/>
                <w:sz w:val="22"/>
                <w:szCs w:val="22"/>
              </w:rPr>
              <w:t>Maintain accurate people data and HR documentation, ensuring compliance, confidentiality, and accessibility</w:t>
            </w:r>
          </w:p>
        </w:tc>
      </w:tr>
      <w:tr w:rsidR="00D378C3" w:rsidRPr="002E65C5" w14:paraId="4ACECC03" w14:textId="77777777" w:rsidTr="00971FC6">
        <w:trPr>
          <w:cantSplit/>
        </w:trPr>
        <w:tc>
          <w:tcPr>
            <w:tcW w:w="988" w:type="dxa"/>
            <w:vAlign w:val="center"/>
          </w:tcPr>
          <w:p w14:paraId="08DF6579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D44932B" w14:textId="77777777" w:rsidR="00D378C3" w:rsidRPr="00D378C3" w:rsidRDefault="006D58F3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D58F3">
              <w:rPr>
                <w:rFonts w:ascii="Century Gothic" w:hAnsi="Century Gothic"/>
                <w:sz w:val="22"/>
                <w:szCs w:val="22"/>
              </w:rPr>
              <w:t>Manage employee benefits, pension and insurance queries, and support cyclical HR processes such as salary reviews and appraisals</w:t>
            </w:r>
          </w:p>
        </w:tc>
      </w:tr>
      <w:tr w:rsidR="00D378C3" w:rsidRPr="002E65C5" w14:paraId="4B8BBD33" w14:textId="77777777" w:rsidTr="00971FC6">
        <w:trPr>
          <w:cantSplit/>
        </w:trPr>
        <w:tc>
          <w:tcPr>
            <w:tcW w:w="988" w:type="dxa"/>
            <w:vAlign w:val="center"/>
          </w:tcPr>
          <w:p w14:paraId="7A755E70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03B4D63E" w14:textId="77777777" w:rsidR="00D378C3" w:rsidRPr="00D378C3" w:rsidRDefault="001C3949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C3949">
              <w:rPr>
                <w:rFonts w:ascii="Century Gothic" w:hAnsi="Century Gothic"/>
                <w:sz w:val="22"/>
                <w:szCs w:val="22"/>
              </w:rPr>
              <w:t>Maintain and improve HR policies and procedures, ensuring they remain relevant and aligned with best practice</w:t>
            </w:r>
          </w:p>
        </w:tc>
      </w:tr>
      <w:tr w:rsidR="00D378C3" w:rsidRPr="002E65C5" w14:paraId="238CEAD9" w14:textId="77777777" w:rsidTr="00971FC6">
        <w:trPr>
          <w:cantSplit/>
        </w:trPr>
        <w:tc>
          <w:tcPr>
            <w:tcW w:w="988" w:type="dxa"/>
            <w:vAlign w:val="center"/>
          </w:tcPr>
          <w:p w14:paraId="4AE61B9A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8BDC71F" w14:textId="77777777" w:rsidR="00D378C3" w:rsidRPr="00D378C3" w:rsidRDefault="005F5E02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F5E02">
              <w:rPr>
                <w:rFonts w:ascii="Century Gothic" w:hAnsi="Century Gothic"/>
                <w:sz w:val="22"/>
                <w:szCs w:val="22"/>
              </w:rPr>
              <w:t xml:space="preserve">Contribute to Group-wide </w:t>
            </w:r>
            <w:r>
              <w:rPr>
                <w:rFonts w:ascii="Century Gothic" w:hAnsi="Century Gothic"/>
                <w:sz w:val="22"/>
                <w:szCs w:val="22"/>
              </w:rPr>
              <w:t>people</w:t>
            </w:r>
            <w:r w:rsidRPr="005F5E02">
              <w:rPr>
                <w:rFonts w:ascii="Century Gothic" w:hAnsi="Century Gothic"/>
                <w:sz w:val="22"/>
                <w:szCs w:val="22"/>
              </w:rPr>
              <w:t xml:space="preserve"> projects and cross-functional initiatives</w:t>
            </w:r>
          </w:p>
        </w:tc>
      </w:tr>
      <w:tr w:rsidR="00D378C3" w:rsidRPr="002E65C5" w14:paraId="728466DD" w14:textId="77777777" w:rsidTr="00971FC6">
        <w:trPr>
          <w:cantSplit/>
        </w:trPr>
        <w:tc>
          <w:tcPr>
            <w:tcW w:w="988" w:type="dxa"/>
            <w:vAlign w:val="center"/>
          </w:tcPr>
          <w:p w14:paraId="701A4099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A2D2F82" w14:textId="64A0BB14" w:rsidR="00D378C3" w:rsidRPr="00D378C3" w:rsidRDefault="00AC53FA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53FA">
              <w:rPr>
                <w:rFonts w:ascii="Century Gothic" w:hAnsi="Century Gothic"/>
                <w:sz w:val="22"/>
                <w:szCs w:val="22"/>
              </w:rPr>
              <w:t>Act as a change agent, supporting leaders in embedding organisational transformation and new ways of working</w:t>
            </w:r>
          </w:p>
        </w:tc>
      </w:tr>
      <w:tr w:rsidR="00D378C3" w:rsidRPr="002E65C5" w14:paraId="6154486D" w14:textId="77777777" w:rsidTr="00971FC6">
        <w:trPr>
          <w:cantSplit/>
        </w:trPr>
        <w:tc>
          <w:tcPr>
            <w:tcW w:w="988" w:type="dxa"/>
            <w:vAlign w:val="center"/>
          </w:tcPr>
          <w:p w14:paraId="5C6B27EA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5E73120" w14:textId="76E1BF7B" w:rsidR="00D378C3" w:rsidRPr="00D378C3" w:rsidRDefault="00AC53FA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53FA">
              <w:rPr>
                <w:rFonts w:ascii="Century Gothic" w:hAnsi="Century Gothic"/>
                <w:sz w:val="22"/>
                <w:szCs w:val="22"/>
              </w:rPr>
              <w:t>Identify opportunities to streamline HR processes and improve the employee experience through digital tools and process optimisation</w:t>
            </w:r>
          </w:p>
        </w:tc>
      </w:tr>
      <w:tr w:rsidR="0063525F" w:rsidRPr="002E65C5" w14:paraId="2F45108D" w14:textId="77777777" w:rsidTr="00971FC6">
        <w:trPr>
          <w:cantSplit/>
        </w:trPr>
        <w:tc>
          <w:tcPr>
            <w:tcW w:w="988" w:type="dxa"/>
            <w:vAlign w:val="center"/>
          </w:tcPr>
          <w:p w14:paraId="556A51AB" w14:textId="77777777" w:rsidR="0063525F" w:rsidRPr="002E65C5" w:rsidRDefault="0063525F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ACC00BC" w14:textId="7018D6AB" w:rsidR="0063525F" w:rsidRPr="00AC53FA" w:rsidRDefault="0063525F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3525F">
              <w:rPr>
                <w:rFonts w:ascii="Century Gothic" w:hAnsi="Century Gothic"/>
                <w:sz w:val="22"/>
                <w:szCs w:val="22"/>
              </w:rPr>
              <w:t>Promote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 drive</w:t>
            </w:r>
            <w:r w:rsidRPr="0063525F">
              <w:rPr>
                <w:rFonts w:ascii="Century Gothic" w:hAnsi="Century Gothic"/>
                <w:sz w:val="22"/>
                <w:szCs w:val="22"/>
              </w:rPr>
              <w:t xml:space="preserve"> a positive, inclusive, and high-performance culture</w:t>
            </w:r>
          </w:p>
        </w:tc>
      </w:tr>
      <w:tr w:rsidR="00D378C3" w:rsidRPr="002E65C5" w14:paraId="5D6CCF37" w14:textId="77777777" w:rsidTr="00971FC6">
        <w:trPr>
          <w:cantSplit/>
        </w:trPr>
        <w:tc>
          <w:tcPr>
            <w:tcW w:w="988" w:type="dxa"/>
            <w:vAlign w:val="center"/>
          </w:tcPr>
          <w:p w14:paraId="3C3BACD8" w14:textId="77777777" w:rsidR="00D378C3" w:rsidRPr="002E65C5" w:rsidRDefault="00D378C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5862B2A8" w14:textId="00FC85A6" w:rsidR="00D378C3" w:rsidRPr="00D378C3" w:rsidRDefault="00AC53FA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53FA">
              <w:rPr>
                <w:rFonts w:ascii="Century Gothic" w:hAnsi="Century Gothic"/>
                <w:sz w:val="22"/>
                <w:szCs w:val="22"/>
              </w:rPr>
              <w:t>Support strategic workforce planning to align capability with business growth and future skills requirements</w:t>
            </w:r>
          </w:p>
        </w:tc>
      </w:tr>
      <w:tr w:rsidR="001865BD" w:rsidRPr="002E65C5" w14:paraId="74BC128E" w14:textId="77777777" w:rsidTr="00A86A66">
        <w:trPr>
          <w:cantSplit/>
        </w:trPr>
        <w:tc>
          <w:tcPr>
            <w:tcW w:w="10461" w:type="dxa"/>
            <w:gridSpan w:val="5"/>
            <w:vAlign w:val="center"/>
          </w:tcPr>
          <w:p w14:paraId="110F2634" w14:textId="77777777" w:rsidR="001865BD" w:rsidRDefault="001865BD" w:rsidP="00971FC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D395091" w14:textId="77777777" w:rsidR="001865BD" w:rsidRDefault="00191DA6" w:rsidP="00191DA6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91DA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Talent, Leadership &amp; Learning Development </w:t>
            </w:r>
          </w:p>
          <w:p w14:paraId="6AD47C93" w14:textId="77777777" w:rsidR="00191DA6" w:rsidRPr="001865BD" w:rsidRDefault="00191DA6" w:rsidP="00191DA6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07BED" w:rsidRPr="002E65C5" w14:paraId="3A089CA0" w14:textId="77777777" w:rsidTr="00971FC6">
        <w:trPr>
          <w:cantSplit/>
        </w:trPr>
        <w:tc>
          <w:tcPr>
            <w:tcW w:w="988" w:type="dxa"/>
            <w:vAlign w:val="center"/>
          </w:tcPr>
          <w:p w14:paraId="6E20B4DD" w14:textId="77777777" w:rsidR="00B07BED" w:rsidRPr="002E65C5" w:rsidRDefault="00B07BED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7C7760C" w14:textId="61E2C934" w:rsidR="002E65C5" w:rsidRPr="002E65C5" w:rsidRDefault="00416AC2" w:rsidP="00CB593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Lead the Group approach to talent identification and succession planning</w:t>
            </w:r>
          </w:p>
        </w:tc>
      </w:tr>
      <w:tr w:rsidR="007D4008" w:rsidRPr="002E65C5" w14:paraId="1B1D3497" w14:textId="77777777" w:rsidTr="00971FC6">
        <w:trPr>
          <w:cantSplit/>
        </w:trPr>
        <w:tc>
          <w:tcPr>
            <w:tcW w:w="988" w:type="dxa"/>
            <w:vAlign w:val="center"/>
          </w:tcPr>
          <w:p w14:paraId="776D801C" w14:textId="77777777" w:rsidR="007D4008" w:rsidRPr="002E65C5" w:rsidRDefault="007D4008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ED8B825" w14:textId="77777777" w:rsidR="007D4008" w:rsidRPr="002E65C5" w:rsidRDefault="009B27E1" w:rsidP="00FA630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B27E1">
              <w:rPr>
                <w:rFonts w:ascii="Century Gothic" w:hAnsi="Century Gothic"/>
                <w:sz w:val="22"/>
                <w:szCs w:val="22"/>
              </w:rPr>
              <w:t>Conduct Training Needs Analyses to inform the central leadership development plan and ensure learning interventions are aligned to business priorities</w:t>
            </w:r>
          </w:p>
        </w:tc>
      </w:tr>
      <w:tr w:rsidR="00652AA0" w:rsidRPr="002E65C5" w14:paraId="1963567D" w14:textId="77777777" w:rsidTr="00971FC6">
        <w:trPr>
          <w:cantSplit/>
        </w:trPr>
        <w:tc>
          <w:tcPr>
            <w:tcW w:w="988" w:type="dxa"/>
            <w:vAlign w:val="center"/>
          </w:tcPr>
          <w:p w14:paraId="4A7753D4" w14:textId="77777777" w:rsidR="00652AA0" w:rsidRPr="002E65C5" w:rsidRDefault="00652AA0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5ED7D716" w14:textId="0E8415AD" w:rsidR="00652AA0" w:rsidRPr="002E65C5" w:rsidRDefault="00416AC2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Embed succession planning frameworks for critical and senior roles</w:t>
            </w:r>
          </w:p>
        </w:tc>
      </w:tr>
      <w:tr w:rsidR="003A3C03" w:rsidRPr="002E65C5" w14:paraId="0479725D" w14:textId="77777777" w:rsidTr="00971FC6">
        <w:trPr>
          <w:cantSplit/>
        </w:trPr>
        <w:tc>
          <w:tcPr>
            <w:tcW w:w="988" w:type="dxa"/>
            <w:vAlign w:val="center"/>
          </w:tcPr>
          <w:p w14:paraId="12F9B7AE" w14:textId="77777777" w:rsidR="003A3C03" w:rsidRPr="002E65C5" w:rsidRDefault="003A3C0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1083F84" w14:textId="5BBC14E1" w:rsidR="00416AC2" w:rsidRPr="002E65C5" w:rsidRDefault="00416AC2" w:rsidP="00416AC2">
            <w:pPr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Partner Managing Directors to identify high</w:t>
            </w:r>
            <w:r w:rsidRPr="00416AC2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6AC2">
              <w:rPr>
                <w:rFonts w:ascii="Century Gothic" w:hAnsi="Century Gothic"/>
                <w:sz w:val="22"/>
                <w:szCs w:val="22"/>
              </w:rPr>
              <w:t>potential talent and develop targeted plans</w:t>
            </w:r>
          </w:p>
        </w:tc>
      </w:tr>
      <w:tr w:rsidR="00B06A79" w:rsidRPr="002E65C5" w14:paraId="284759B0" w14:textId="77777777" w:rsidTr="00971FC6">
        <w:trPr>
          <w:cantSplit/>
        </w:trPr>
        <w:tc>
          <w:tcPr>
            <w:tcW w:w="988" w:type="dxa"/>
            <w:vAlign w:val="center"/>
          </w:tcPr>
          <w:p w14:paraId="4225113B" w14:textId="77777777" w:rsidR="00B06A79" w:rsidRPr="002E65C5" w:rsidRDefault="00B06A79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312EE29" w14:textId="37DA1476" w:rsidR="00B06A79" w:rsidRPr="002E65C5" w:rsidRDefault="00416AC2" w:rsidP="00416AC2">
            <w:pPr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Support workforce and capability planning aligned to current and future needs</w:t>
            </w:r>
          </w:p>
        </w:tc>
      </w:tr>
      <w:tr w:rsidR="00B06A79" w:rsidRPr="002E65C5" w14:paraId="531C4A13" w14:textId="77777777" w:rsidTr="00971FC6">
        <w:trPr>
          <w:cantSplit/>
        </w:trPr>
        <w:tc>
          <w:tcPr>
            <w:tcW w:w="988" w:type="dxa"/>
            <w:vAlign w:val="center"/>
          </w:tcPr>
          <w:p w14:paraId="544870A8" w14:textId="77777777" w:rsidR="00B06A79" w:rsidRPr="002E65C5" w:rsidRDefault="00B06A79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A16ADF3" w14:textId="7DC71A20" w:rsidR="00B06A79" w:rsidRPr="002E65C5" w:rsidRDefault="00416AC2" w:rsidP="003A3C0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Use people data and insight to inform succession risk and investment priorities</w:t>
            </w:r>
          </w:p>
        </w:tc>
      </w:tr>
      <w:tr w:rsidR="00416AC2" w:rsidRPr="002E65C5" w14:paraId="5002B581" w14:textId="77777777" w:rsidTr="00971FC6">
        <w:trPr>
          <w:cantSplit/>
        </w:trPr>
        <w:tc>
          <w:tcPr>
            <w:tcW w:w="988" w:type="dxa"/>
            <w:vAlign w:val="center"/>
          </w:tcPr>
          <w:p w14:paraId="04742A6B" w14:textId="77777777" w:rsidR="00416AC2" w:rsidRPr="002E65C5" w:rsidRDefault="00416AC2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78BF9FF" w14:textId="154B69B9" w:rsidR="00416AC2" w:rsidRPr="00416AC2" w:rsidRDefault="00416AC2" w:rsidP="003A3C0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16AC2">
              <w:rPr>
                <w:rFonts w:ascii="Century Gothic" w:hAnsi="Century Gothic"/>
                <w:sz w:val="22"/>
                <w:szCs w:val="22"/>
              </w:rPr>
              <w:t>Champion and embed eLearning and blended learning solutions</w:t>
            </w:r>
          </w:p>
        </w:tc>
      </w:tr>
      <w:tr w:rsidR="00416AC2" w:rsidRPr="002E65C5" w14:paraId="44B0A5FA" w14:textId="77777777" w:rsidTr="00971FC6">
        <w:trPr>
          <w:cantSplit/>
        </w:trPr>
        <w:tc>
          <w:tcPr>
            <w:tcW w:w="988" w:type="dxa"/>
            <w:vAlign w:val="center"/>
          </w:tcPr>
          <w:p w14:paraId="5C23F8F4" w14:textId="77777777" w:rsidR="00416AC2" w:rsidRPr="002E65C5" w:rsidRDefault="00416AC2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B12A0D3" w14:textId="788BADA1" w:rsidR="00416AC2" w:rsidRPr="00416AC2" w:rsidRDefault="00416AC2" w:rsidP="003A3C0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Work with the CRO to </w:t>
            </w:r>
            <w:r w:rsidRPr="00416AC2">
              <w:rPr>
                <w:rFonts w:ascii="Century Gothic" w:hAnsi="Century Gothic"/>
                <w:sz w:val="22"/>
                <w:szCs w:val="22"/>
              </w:rPr>
              <w:t>Identify, appoint and manage external learning, leadership and talent providers</w:t>
            </w:r>
          </w:p>
        </w:tc>
      </w:tr>
      <w:tr w:rsidR="00971FC6" w:rsidRPr="002E65C5" w14:paraId="46645F8A" w14:textId="77777777" w:rsidTr="00084FC1">
        <w:trPr>
          <w:cantSplit/>
        </w:trPr>
        <w:tc>
          <w:tcPr>
            <w:tcW w:w="10461" w:type="dxa"/>
            <w:gridSpan w:val="5"/>
            <w:vAlign w:val="center"/>
          </w:tcPr>
          <w:p w14:paraId="20EA52AB" w14:textId="77777777" w:rsidR="00971FC6" w:rsidRDefault="00971FC6" w:rsidP="002551C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8722AEF" w14:textId="77777777" w:rsidR="00971FC6" w:rsidRDefault="00971FC6" w:rsidP="002551C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1FC6">
              <w:rPr>
                <w:rFonts w:ascii="Century Gothic" w:hAnsi="Century Gothic"/>
                <w:b/>
                <w:bCs/>
                <w:sz w:val="22"/>
                <w:szCs w:val="22"/>
              </w:rPr>
              <w:t>Other</w:t>
            </w:r>
          </w:p>
          <w:p w14:paraId="2EE5F13C" w14:textId="77777777" w:rsidR="00971FC6" w:rsidRPr="00971FC6" w:rsidRDefault="00971FC6" w:rsidP="002551C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C53FA" w:rsidRPr="002E65C5" w14:paraId="40B616A2" w14:textId="77777777" w:rsidTr="00971FC6">
        <w:trPr>
          <w:cantSplit/>
        </w:trPr>
        <w:tc>
          <w:tcPr>
            <w:tcW w:w="988" w:type="dxa"/>
            <w:vAlign w:val="center"/>
          </w:tcPr>
          <w:p w14:paraId="4E4CB043" w14:textId="77777777" w:rsidR="00AC53FA" w:rsidRPr="00971FC6" w:rsidRDefault="00AC53FA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F12D659" w14:textId="3B5BB874" w:rsidR="00AC53FA" w:rsidRPr="002E65C5" w:rsidRDefault="00AC53FA" w:rsidP="00AC53F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53FA">
              <w:rPr>
                <w:rFonts w:ascii="Century Gothic" w:hAnsi="Century Gothic"/>
                <w:sz w:val="22"/>
                <w:szCs w:val="22"/>
              </w:rPr>
              <w:t>Collaborate with Finance, HSE and Corporate Development teams to ensure integrated and aligned people practices across the Group</w:t>
            </w:r>
          </w:p>
        </w:tc>
      </w:tr>
      <w:tr w:rsidR="002551CC" w:rsidRPr="002E65C5" w14:paraId="5AD63CFF" w14:textId="77777777" w:rsidTr="00971FC6">
        <w:trPr>
          <w:cantSplit/>
        </w:trPr>
        <w:tc>
          <w:tcPr>
            <w:tcW w:w="988" w:type="dxa"/>
            <w:vAlign w:val="center"/>
          </w:tcPr>
          <w:p w14:paraId="13B21BAF" w14:textId="77777777" w:rsidR="002551CC" w:rsidRPr="00971FC6" w:rsidRDefault="002551CC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2DCC74A" w14:textId="48C014F4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E65C5">
              <w:rPr>
                <w:rFonts w:ascii="Century Gothic" w:hAnsi="Century Gothic"/>
                <w:sz w:val="22"/>
                <w:szCs w:val="22"/>
              </w:rPr>
              <w:t xml:space="preserve">Develop strong working relationships across all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Global </w:t>
            </w:r>
            <w:r w:rsidRPr="002E65C5">
              <w:rPr>
                <w:rFonts w:ascii="Century Gothic" w:hAnsi="Century Gothic"/>
                <w:sz w:val="22"/>
                <w:szCs w:val="22"/>
              </w:rPr>
              <w:t>Portfolio companies and office locations</w:t>
            </w:r>
          </w:p>
        </w:tc>
      </w:tr>
      <w:tr w:rsidR="002551CC" w:rsidRPr="002E65C5" w14:paraId="189141AA" w14:textId="77777777" w:rsidTr="00971FC6">
        <w:trPr>
          <w:cantSplit/>
        </w:trPr>
        <w:tc>
          <w:tcPr>
            <w:tcW w:w="988" w:type="dxa"/>
            <w:vAlign w:val="center"/>
          </w:tcPr>
          <w:p w14:paraId="67EED7AE" w14:textId="77777777" w:rsidR="002551CC" w:rsidRPr="00971FC6" w:rsidRDefault="002551CC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50D50E45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E65C5">
              <w:rPr>
                <w:rFonts w:ascii="Century Gothic" w:hAnsi="Century Gothic"/>
                <w:sz w:val="22"/>
                <w:szCs w:val="22"/>
              </w:rPr>
              <w:t>Maintain and develop customer relationships at all levels.</w:t>
            </w:r>
          </w:p>
        </w:tc>
      </w:tr>
      <w:tr w:rsidR="002551CC" w:rsidRPr="002E65C5" w14:paraId="3AC2EFF0" w14:textId="77777777" w:rsidTr="00971FC6">
        <w:trPr>
          <w:cantSplit/>
        </w:trPr>
        <w:tc>
          <w:tcPr>
            <w:tcW w:w="988" w:type="dxa"/>
            <w:vAlign w:val="center"/>
          </w:tcPr>
          <w:p w14:paraId="1790CD02" w14:textId="77777777" w:rsidR="002551CC" w:rsidRPr="00971FC6" w:rsidRDefault="002551CC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9158CAF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E65C5">
              <w:rPr>
                <w:rFonts w:ascii="Century Gothic" w:hAnsi="Century Gothic"/>
                <w:sz w:val="22"/>
                <w:szCs w:val="22"/>
              </w:rPr>
              <w:t>Attend relevant networking events and seminars.</w:t>
            </w:r>
          </w:p>
        </w:tc>
      </w:tr>
      <w:tr w:rsidR="00357687" w:rsidRPr="002E65C5" w14:paraId="19A6AE56" w14:textId="77777777" w:rsidTr="005E0BB9">
        <w:trPr>
          <w:cantSplit/>
        </w:trPr>
        <w:tc>
          <w:tcPr>
            <w:tcW w:w="10461" w:type="dxa"/>
            <w:gridSpan w:val="5"/>
            <w:shd w:val="clear" w:color="auto" w:fill="006C76"/>
            <w:vAlign w:val="center"/>
          </w:tcPr>
          <w:p w14:paraId="637BA646" w14:textId="77777777" w:rsidR="00357687" w:rsidRPr="00357687" w:rsidRDefault="00357687" w:rsidP="002551C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57687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 and Experience</w:t>
            </w:r>
          </w:p>
        </w:tc>
      </w:tr>
      <w:tr w:rsidR="002551CC" w:rsidRPr="002E65C5" w14:paraId="0A7D467C" w14:textId="77777777" w:rsidTr="00971FC6">
        <w:trPr>
          <w:cantSplit/>
        </w:trPr>
        <w:tc>
          <w:tcPr>
            <w:tcW w:w="988" w:type="dxa"/>
            <w:vAlign w:val="center"/>
          </w:tcPr>
          <w:p w14:paraId="2A7AEA17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8734DD2" w14:textId="2C3CEC87" w:rsidR="002551CC" w:rsidRPr="002E65C5" w:rsidRDefault="00BD553A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553A">
              <w:rPr>
                <w:rFonts w:ascii="Century Gothic" w:hAnsi="Century Gothic"/>
                <w:sz w:val="22"/>
                <w:szCs w:val="22"/>
              </w:rPr>
              <w:t xml:space="preserve">Significant experience as an HR Business Partner, L&amp;D Partner, or hybrid people role in a complex, fast-paced organisation </w:t>
            </w:r>
          </w:p>
        </w:tc>
      </w:tr>
      <w:tr w:rsidR="002551CC" w:rsidRPr="002E65C5" w14:paraId="19090EAE" w14:textId="77777777" w:rsidTr="00971FC6">
        <w:trPr>
          <w:cantSplit/>
        </w:trPr>
        <w:tc>
          <w:tcPr>
            <w:tcW w:w="988" w:type="dxa"/>
            <w:vAlign w:val="center"/>
          </w:tcPr>
          <w:p w14:paraId="0305CAAF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03D4191" w14:textId="77777777" w:rsidR="002551CC" w:rsidRPr="002E65C5" w:rsidRDefault="00F23FDB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23FDB">
              <w:rPr>
                <w:rFonts w:ascii="Century Gothic" w:hAnsi="Century Gothic"/>
                <w:sz w:val="22"/>
                <w:szCs w:val="22"/>
              </w:rPr>
              <w:t>Proven track record in leadership development, coaching, or talent management</w:t>
            </w:r>
          </w:p>
        </w:tc>
      </w:tr>
      <w:tr w:rsidR="002551CC" w:rsidRPr="002E65C5" w14:paraId="42A9A153" w14:textId="77777777" w:rsidTr="00971FC6">
        <w:trPr>
          <w:cantSplit/>
        </w:trPr>
        <w:tc>
          <w:tcPr>
            <w:tcW w:w="988" w:type="dxa"/>
            <w:vAlign w:val="center"/>
          </w:tcPr>
          <w:p w14:paraId="0B84D9C5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02A302A8" w14:textId="77777777" w:rsidR="002551CC" w:rsidRPr="002E65C5" w:rsidRDefault="004B4ADD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B4ADD">
              <w:rPr>
                <w:rFonts w:ascii="Century Gothic" w:hAnsi="Century Gothic"/>
                <w:sz w:val="22"/>
                <w:szCs w:val="22"/>
              </w:rPr>
              <w:t xml:space="preserve">Strong knowledge of UK employment law and HR best practice </w:t>
            </w:r>
          </w:p>
        </w:tc>
      </w:tr>
      <w:tr w:rsidR="002551CC" w:rsidRPr="002E65C5" w14:paraId="44EBCAE4" w14:textId="77777777" w:rsidTr="00971FC6">
        <w:trPr>
          <w:cantSplit/>
        </w:trPr>
        <w:tc>
          <w:tcPr>
            <w:tcW w:w="988" w:type="dxa"/>
            <w:vAlign w:val="center"/>
          </w:tcPr>
          <w:p w14:paraId="009ED323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81691FF" w14:textId="77777777" w:rsidR="002551CC" w:rsidRPr="002E65C5" w:rsidRDefault="008E13B7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E13B7">
              <w:rPr>
                <w:rFonts w:ascii="Century Gothic" w:hAnsi="Century Gothic"/>
                <w:sz w:val="22"/>
                <w:szCs w:val="22"/>
              </w:rPr>
              <w:t>Excellent facilitation, coaching, and mentoring skills</w:t>
            </w:r>
          </w:p>
        </w:tc>
      </w:tr>
      <w:tr w:rsidR="002551CC" w:rsidRPr="002E65C5" w14:paraId="35589B60" w14:textId="77777777" w:rsidTr="00971FC6">
        <w:trPr>
          <w:cantSplit/>
        </w:trPr>
        <w:tc>
          <w:tcPr>
            <w:tcW w:w="988" w:type="dxa"/>
            <w:vAlign w:val="center"/>
          </w:tcPr>
          <w:p w14:paraId="24D3574F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5AC93A4E" w14:textId="77777777" w:rsidR="002551CC" w:rsidRPr="002E65C5" w:rsidRDefault="00E647D9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647D9">
              <w:rPr>
                <w:rFonts w:ascii="Century Gothic" w:hAnsi="Century Gothic"/>
                <w:sz w:val="22"/>
                <w:szCs w:val="22"/>
              </w:rPr>
              <w:t>CIPD qualified (Level 5 or above) or qualified by experience</w:t>
            </w:r>
            <w:r w:rsidR="002551CC" w:rsidRPr="002E65C5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4CE9C8C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51CC" w:rsidRPr="002E65C5" w14:paraId="0162892D" w14:textId="77777777" w:rsidTr="00971FC6">
        <w:trPr>
          <w:cantSplit/>
        </w:trPr>
        <w:tc>
          <w:tcPr>
            <w:tcW w:w="988" w:type="dxa"/>
            <w:vAlign w:val="center"/>
          </w:tcPr>
          <w:p w14:paraId="234D76BC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DD0E15C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353DA">
              <w:rPr>
                <w:rFonts w:ascii="Century Gothic" w:hAnsi="Century Gothic"/>
                <w:sz w:val="22"/>
                <w:szCs w:val="22"/>
              </w:rPr>
              <w:t xml:space="preserve">Experience in </w:t>
            </w:r>
            <w:r w:rsidR="00E647D9">
              <w:rPr>
                <w:rFonts w:ascii="Century Gothic" w:hAnsi="Century Gothic"/>
                <w:sz w:val="22"/>
                <w:szCs w:val="22"/>
              </w:rPr>
              <w:t>working with external suppliers to facilitate learning programmes at all levels</w:t>
            </w:r>
          </w:p>
        </w:tc>
      </w:tr>
      <w:tr w:rsidR="002551CC" w:rsidRPr="002E65C5" w14:paraId="704F4E48" w14:textId="77777777" w:rsidTr="00971FC6">
        <w:trPr>
          <w:cantSplit/>
        </w:trPr>
        <w:tc>
          <w:tcPr>
            <w:tcW w:w="988" w:type="dxa"/>
            <w:vAlign w:val="center"/>
          </w:tcPr>
          <w:p w14:paraId="3C35357A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05150A7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E65C5">
              <w:rPr>
                <w:rFonts w:ascii="Century Gothic" w:hAnsi="Century Gothic"/>
                <w:sz w:val="22"/>
                <w:szCs w:val="22"/>
              </w:rPr>
              <w:t>Experience in supporting large-scale transformation projects across multiple geographies</w:t>
            </w:r>
          </w:p>
          <w:p w14:paraId="2A8FF8FA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51CC" w:rsidRPr="002E65C5" w14:paraId="45497191" w14:textId="77777777" w:rsidTr="00971FC6">
        <w:trPr>
          <w:cantSplit/>
        </w:trPr>
        <w:tc>
          <w:tcPr>
            <w:tcW w:w="988" w:type="dxa"/>
            <w:vAlign w:val="center"/>
          </w:tcPr>
          <w:p w14:paraId="2D7B1A97" w14:textId="77777777" w:rsidR="002551CC" w:rsidRPr="002E65C5" w:rsidRDefault="002551CC" w:rsidP="002551CC">
            <w:pPr>
              <w:pStyle w:val="ListParagraph"/>
              <w:numPr>
                <w:ilvl w:val="0"/>
                <w:numId w:val="29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66B7E533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E65C5">
              <w:rPr>
                <w:rFonts w:ascii="Century Gothic" w:hAnsi="Century Gothic"/>
                <w:sz w:val="22"/>
                <w:szCs w:val="22"/>
              </w:rPr>
              <w:t>Excellent communication and stakeholder management skills, with ability to influence at senior levels.</w:t>
            </w:r>
          </w:p>
          <w:p w14:paraId="37E0C745" w14:textId="77777777" w:rsidR="002551CC" w:rsidRPr="002E65C5" w:rsidRDefault="002551C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D9696CD" w14:textId="77777777" w:rsidR="006E60F9" w:rsidRPr="002E65C5" w:rsidRDefault="006E60F9">
      <w:pPr>
        <w:rPr>
          <w:rFonts w:ascii="Century Gothic" w:hAnsi="Century Gothic"/>
          <w:sz w:val="22"/>
          <w:szCs w:val="22"/>
        </w:rPr>
      </w:pPr>
    </w:p>
    <w:bookmarkEnd w:id="0"/>
    <w:bookmarkEnd w:id="1"/>
    <w:bookmarkEnd w:id="2"/>
    <w:bookmarkEnd w:id="3"/>
    <w:p w14:paraId="0524091F" w14:textId="77777777" w:rsidR="00412F5A" w:rsidRPr="002E65C5" w:rsidRDefault="00412F5A" w:rsidP="008D248C">
      <w:pPr>
        <w:ind w:right="-187"/>
        <w:jc w:val="both"/>
        <w:rPr>
          <w:rFonts w:ascii="Century Gothic" w:hAnsi="Century Gothic"/>
          <w:sz w:val="22"/>
          <w:szCs w:val="22"/>
        </w:rPr>
      </w:pPr>
    </w:p>
    <w:p w14:paraId="527EAB26" w14:textId="34C7E8B8" w:rsidR="00AC53FA" w:rsidRDefault="00AC53FA" w:rsidP="00AC53FA">
      <w:pPr>
        <w:rPr>
          <w:color w:val="0066CC"/>
        </w:rPr>
      </w:pPr>
    </w:p>
    <w:p w14:paraId="6078B62E" w14:textId="74141DE9" w:rsidR="001A490B" w:rsidRDefault="00000000">
      <w:r>
        <w:rPr>
          <w:color w:val="0066CC"/>
        </w:rPr>
        <w:t>.</w:t>
      </w:r>
    </w:p>
    <w:sectPr w:rsidR="001A490B" w:rsidSect="00EF1584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7" w:h="16840" w:code="9"/>
      <w:pgMar w:top="1440" w:right="851" w:bottom="1440" w:left="85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391" w14:textId="77777777" w:rsidR="00642276" w:rsidRDefault="00642276">
      <w:pPr>
        <w:spacing w:line="20" w:lineRule="exact"/>
      </w:pPr>
    </w:p>
  </w:endnote>
  <w:endnote w:type="continuationSeparator" w:id="0">
    <w:p w14:paraId="224AF5EF" w14:textId="77777777" w:rsidR="00642276" w:rsidRDefault="00642276">
      <w:r>
        <w:t xml:space="preserve"> </w:t>
      </w:r>
    </w:p>
  </w:endnote>
  <w:endnote w:type="continuationNotice" w:id="1">
    <w:p w14:paraId="4075B0D7" w14:textId="77777777" w:rsidR="00642276" w:rsidRDefault="006422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4F9" w14:textId="77777777" w:rsidR="00F9474E" w:rsidRDefault="00F9474E">
    <w:pPr>
      <w:pStyle w:val="Footer"/>
    </w:pPr>
  </w:p>
  <w:p w14:paraId="5741CF62" w14:textId="77777777" w:rsidR="00F9474E" w:rsidRDefault="00F94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C4D1" w14:textId="77777777" w:rsidR="00642276" w:rsidRDefault="00642276">
      <w:r>
        <w:separator/>
      </w:r>
    </w:p>
  </w:footnote>
  <w:footnote w:type="continuationSeparator" w:id="0">
    <w:p w14:paraId="26AD23D7" w14:textId="77777777" w:rsidR="00642276" w:rsidRDefault="006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9080" w14:textId="77777777" w:rsidR="00F9474E" w:rsidRDefault="00F9474E">
    <w:pPr>
      <w:pStyle w:val="Header"/>
    </w:pPr>
  </w:p>
  <w:p w14:paraId="59664EBF" w14:textId="77777777" w:rsidR="00F9474E" w:rsidRDefault="00F9474E">
    <w:pPr>
      <w:pStyle w:val="Header"/>
    </w:pPr>
  </w:p>
  <w:p w14:paraId="44E7E3D5" w14:textId="77777777" w:rsidR="00F9474E" w:rsidRDefault="00F9474E">
    <w:pPr>
      <w:pStyle w:val="Header"/>
    </w:pPr>
  </w:p>
  <w:p w14:paraId="0F1C322E" w14:textId="77777777" w:rsidR="00F9474E" w:rsidRDefault="00F9474E">
    <w:pPr>
      <w:pStyle w:val="Header"/>
    </w:pPr>
  </w:p>
  <w:p w14:paraId="47BDD358" w14:textId="77777777" w:rsidR="00F9474E" w:rsidRDefault="00F9474E">
    <w:pPr>
      <w:pStyle w:val="Header"/>
    </w:pPr>
  </w:p>
  <w:p w14:paraId="5861BF7E" w14:textId="77777777" w:rsidR="00F9474E" w:rsidRDefault="00F94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E24E" w14:textId="77777777" w:rsidR="005B7FAA" w:rsidRPr="005B7FAA" w:rsidRDefault="005B7FAA" w:rsidP="005B7FAA">
    <w:pPr>
      <w:pStyle w:val="Header"/>
    </w:pPr>
  </w:p>
  <w:p w14:paraId="38739ABC" w14:textId="77777777" w:rsidR="00EC305B" w:rsidRPr="00EC305B" w:rsidRDefault="005B7FAA" w:rsidP="00EC305B">
    <w:pPr>
      <w:pStyle w:val="Header"/>
    </w:pPr>
    <w:r w:rsidRPr="005B7FAA">
      <w:rPr>
        <w:noProof/>
      </w:rPr>
      <w:drawing>
        <wp:anchor distT="0" distB="0" distL="114300" distR="114300" simplePos="0" relativeHeight="251661824" behindDoc="1" locked="0" layoutInCell="1" allowOverlap="1" wp14:anchorId="6E3D1073" wp14:editId="37AD0D2E">
          <wp:simplePos x="0" y="0"/>
          <wp:positionH relativeFrom="column">
            <wp:posOffset>4464685</wp:posOffset>
          </wp:positionH>
          <wp:positionV relativeFrom="paragraph">
            <wp:posOffset>129540</wp:posOffset>
          </wp:positionV>
          <wp:extent cx="2165985" cy="422910"/>
          <wp:effectExtent l="0" t="0" r="5715" b="0"/>
          <wp:wrapTight wrapText="bothSides">
            <wp:wrapPolygon edited="0">
              <wp:start x="0" y="0"/>
              <wp:lineTo x="0" y="20432"/>
              <wp:lineTo x="21467" y="20432"/>
              <wp:lineTo x="21467" y="0"/>
              <wp:lineTo x="0" y="0"/>
            </wp:wrapPolygon>
          </wp:wrapTight>
          <wp:docPr id="58603827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3827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03F451" w14:textId="77777777" w:rsidR="00F9474E" w:rsidRDefault="00F9474E">
    <w:pPr>
      <w:pStyle w:val="Header"/>
    </w:pPr>
  </w:p>
  <w:p w14:paraId="20C08EFC" w14:textId="77777777" w:rsidR="00F9474E" w:rsidRDefault="00F9474E" w:rsidP="00A039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219283A"/>
    <w:multiLevelType w:val="multilevel"/>
    <w:tmpl w:val="DF3ECED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3132CCD"/>
    <w:multiLevelType w:val="hybridMultilevel"/>
    <w:tmpl w:val="D8F83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7CEA"/>
    <w:multiLevelType w:val="hybridMultilevel"/>
    <w:tmpl w:val="D3FE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06B5"/>
    <w:multiLevelType w:val="multilevel"/>
    <w:tmpl w:val="F5F2E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BD5933"/>
    <w:multiLevelType w:val="hybridMultilevel"/>
    <w:tmpl w:val="87123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599"/>
    <w:multiLevelType w:val="hybridMultilevel"/>
    <w:tmpl w:val="4E7ED0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3CF1"/>
    <w:multiLevelType w:val="hybridMultilevel"/>
    <w:tmpl w:val="836435FE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3F507D"/>
    <w:multiLevelType w:val="hybridMultilevel"/>
    <w:tmpl w:val="47B8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91051"/>
    <w:multiLevelType w:val="hybridMultilevel"/>
    <w:tmpl w:val="6638E882"/>
    <w:lvl w:ilvl="0" w:tplc="5E6A7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327CA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2BFD"/>
    <w:multiLevelType w:val="hybridMultilevel"/>
    <w:tmpl w:val="E506C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1C39"/>
    <w:multiLevelType w:val="hybridMultilevel"/>
    <w:tmpl w:val="DA5A3B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7217A"/>
    <w:multiLevelType w:val="multilevel"/>
    <w:tmpl w:val="F370AC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E0D3AF8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633D1"/>
    <w:multiLevelType w:val="hybridMultilevel"/>
    <w:tmpl w:val="46C0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2E82"/>
    <w:multiLevelType w:val="hybridMultilevel"/>
    <w:tmpl w:val="E506C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5A34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E3D2B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72736"/>
    <w:multiLevelType w:val="hybridMultilevel"/>
    <w:tmpl w:val="FCFABFB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4EA303EF"/>
    <w:multiLevelType w:val="multilevel"/>
    <w:tmpl w:val="1AEACB6E"/>
    <w:lvl w:ilvl="0">
      <w:start w:val="6"/>
      <w:numFmt w:val="decimal"/>
      <w:lvlText w:val="%1.0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entury Gothic" w:hAnsi="Century Gothic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entury Gothic" w:hAnsi="Century Gothic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entury Gothic" w:hAnsi="Century Gothic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entury Gothic" w:hAnsi="Century Gothic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entury Gothic" w:hAnsi="Century Gothic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entury Gothic" w:hAnsi="Century Gothic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entury Gothic" w:hAnsi="Century Gothic" w:hint="default"/>
      </w:rPr>
    </w:lvl>
  </w:abstractNum>
  <w:abstractNum w:abstractNumId="21" w15:restartNumberingAfterBreak="0">
    <w:nsid w:val="53076F9F"/>
    <w:multiLevelType w:val="hybridMultilevel"/>
    <w:tmpl w:val="F704D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96F23"/>
    <w:multiLevelType w:val="hybridMultilevel"/>
    <w:tmpl w:val="7930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11CDD"/>
    <w:multiLevelType w:val="hybridMultilevel"/>
    <w:tmpl w:val="EC3AF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178B"/>
    <w:multiLevelType w:val="hybridMultilevel"/>
    <w:tmpl w:val="C018CE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76683"/>
    <w:multiLevelType w:val="hybridMultilevel"/>
    <w:tmpl w:val="120E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4103"/>
    <w:multiLevelType w:val="hybridMultilevel"/>
    <w:tmpl w:val="282EE860"/>
    <w:lvl w:ilvl="0" w:tplc="5CFCB1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939D4"/>
    <w:multiLevelType w:val="hybridMultilevel"/>
    <w:tmpl w:val="04DA82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91B3F"/>
    <w:multiLevelType w:val="hybridMultilevel"/>
    <w:tmpl w:val="F704D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40975">
    <w:abstractNumId w:val="0"/>
  </w:num>
  <w:num w:numId="2" w16cid:durableId="1039550650">
    <w:abstractNumId w:val="12"/>
  </w:num>
  <w:num w:numId="3" w16cid:durableId="1561986779">
    <w:abstractNumId w:val="28"/>
  </w:num>
  <w:num w:numId="4" w16cid:durableId="947465465">
    <w:abstractNumId w:val="27"/>
  </w:num>
  <w:num w:numId="5" w16cid:durableId="2129467297">
    <w:abstractNumId w:val="10"/>
  </w:num>
  <w:num w:numId="6" w16cid:durableId="2109809047">
    <w:abstractNumId w:val="23"/>
  </w:num>
  <w:num w:numId="7" w16cid:durableId="1477407746">
    <w:abstractNumId w:val="24"/>
  </w:num>
  <w:num w:numId="8" w16cid:durableId="830756264">
    <w:abstractNumId w:val="13"/>
  </w:num>
  <w:num w:numId="9" w16cid:durableId="1088580996">
    <w:abstractNumId w:val="22"/>
  </w:num>
  <w:num w:numId="10" w16cid:durableId="10961352">
    <w:abstractNumId w:val="20"/>
  </w:num>
  <w:num w:numId="11" w16cid:durableId="1612585287">
    <w:abstractNumId w:val="16"/>
  </w:num>
  <w:num w:numId="12" w16cid:durableId="322315933">
    <w:abstractNumId w:val="21"/>
  </w:num>
  <w:num w:numId="13" w16cid:durableId="1849980336">
    <w:abstractNumId w:val="1"/>
  </w:num>
  <w:num w:numId="14" w16cid:durableId="1798139107">
    <w:abstractNumId w:val="4"/>
  </w:num>
  <w:num w:numId="15" w16cid:durableId="2020739944">
    <w:abstractNumId w:val="26"/>
  </w:num>
  <w:num w:numId="16" w16cid:durableId="365567486">
    <w:abstractNumId w:val="9"/>
  </w:num>
  <w:num w:numId="17" w16cid:durableId="2034259522">
    <w:abstractNumId w:val="14"/>
  </w:num>
  <w:num w:numId="18" w16cid:durableId="1444954046">
    <w:abstractNumId w:val="17"/>
  </w:num>
  <w:num w:numId="19" w16cid:durableId="1471902974">
    <w:abstractNumId w:val="18"/>
  </w:num>
  <w:num w:numId="20" w16cid:durableId="1975939777">
    <w:abstractNumId w:val="11"/>
  </w:num>
  <w:num w:numId="21" w16cid:durableId="2057854111">
    <w:abstractNumId w:val="2"/>
  </w:num>
  <w:num w:numId="22" w16cid:durableId="580716537">
    <w:abstractNumId w:val="19"/>
  </w:num>
  <w:num w:numId="23" w16cid:durableId="871308483">
    <w:abstractNumId w:val="8"/>
  </w:num>
  <w:num w:numId="24" w16cid:durableId="117913242">
    <w:abstractNumId w:val="25"/>
  </w:num>
  <w:num w:numId="25" w16cid:durableId="706877856">
    <w:abstractNumId w:val="3"/>
  </w:num>
  <w:num w:numId="26" w16cid:durableId="2033603392">
    <w:abstractNumId w:val="15"/>
  </w:num>
  <w:num w:numId="27" w16cid:durableId="1186793448">
    <w:abstractNumId w:val="5"/>
  </w:num>
  <w:num w:numId="28" w16cid:durableId="1429275958">
    <w:abstractNumId w:val="6"/>
  </w:num>
  <w:num w:numId="29" w16cid:durableId="93725153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1082"/>
  <w:doNotHyphenateCaps/>
  <w:drawingGridHorizontalSpacing w:val="11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20"/>
    <w:rsid w:val="00000874"/>
    <w:rsid w:val="0000310D"/>
    <w:rsid w:val="000311F3"/>
    <w:rsid w:val="000358D5"/>
    <w:rsid w:val="00047EC3"/>
    <w:rsid w:val="00053A76"/>
    <w:rsid w:val="00080AD7"/>
    <w:rsid w:val="000B3424"/>
    <w:rsid w:val="000B474F"/>
    <w:rsid w:val="000B480C"/>
    <w:rsid w:val="000B4B42"/>
    <w:rsid w:val="000B645B"/>
    <w:rsid w:val="000B7338"/>
    <w:rsid w:val="000C252B"/>
    <w:rsid w:val="000C447D"/>
    <w:rsid w:val="000D0978"/>
    <w:rsid w:val="000D195C"/>
    <w:rsid w:val="000E25E5"/>
    <w:rsid w:val="000E3C86"/>
    <w:rsid w:val="000E66D7"/>
    <w:rsid w:val="00116D84"/>
    <w:rsid w:val="00117629"/>
    <w:rsid w:val="00127353"/>
    <w:rsid w:val="001425F0"/>
    <w:rsid w:val="0015279F"/>
    <w:rsid w:val="00153995"/>
    <w:rsid w:val="00161F4C"/>
    <w:rsid w:val="001629E3"/>
    <w:rsid w:val="00167EFC"/>
    <w:rsid w:val="00174D8C"/>
    <w:rsid w:val="001865BD"/>
    <w:rsid w:val="00191553"/>
    <w:rsid w:val="00191DA6"/>
    <w:rsid w:val="00191EEC"/>
    <w:rsid w:val="00196049"/>
    <w:rsid w:val="001A1F44"/>
    <w:rsid w:val="001A490B"/>
    <w:rsid w:val="001C3949"/>
    <w:rsid w:val="001C6038"/>
    <w:rsid w:val="001D5510"/>
    <w:rsid w:val="001F34A0"/>
    <w:rsid w:val="002058B7"/>
    <w:rsid w:val="002340DE"/>
    <w:rsid w:val="00234C6A"/>
    <w:rsid w:val="00244E09"/>
    <w:rsid w:val="002551CC"/>
    <w:rsid w:val="0026057B"/>
    <w:rsid w:val="002618C4"/>
    <w:rsid w:val="0027078F"/>
    <w:rsid w:val="0027680F"/>
    <w:rsid w:val="00281646"/>
    <w:rsid w:val="00283996"/>
    <w:rsid w:val="002A11DA"/>
    <w:rsid w:val="002A1500"/>
    <w:rsid w:val="002A6C20"/>
    <w:rsid w:val="002B7E65"/>
    <w:rsid w:val="002C1534"/>
    <w:rsid w:val="002C514D"/>
    <w:rsid w:val="002C5776"/>
    <w:rsid w:val="002C6449"/>
    <w:rsid w:val="002C74C3"/>
    <w:rsid w:val="002D1CEB"/>
    <w:rsid w:val="002D74E9"/>
    <w:rsid w:val="002E191A"/>
    <w:rsid w:val="002E65C5"/>
    <w:rsid w:val="002F07C6"/>
    <w:rsid w:val="002F10E0"/>
    <w:rsid w:val="002F6893"/>
    <w:rsid w:val="00310B10"/>
    <w:rsid w:val="00311847"/>
    <w:rsid w:val="00311BAC"/>
    <w:rsid w:val="0031791C"/>
    <w:rsid w:val="0032523F"/>
    <w:rsid w:val="003277CF"/>
    <w:rsid w:val="00332EE9"/>
    <w:rsid w:val="00337180"/>
    <w:rsid w:val="00341A64"/>
    <w:rsid w:val="003533E4"/>
    <w:rsid w:val="00353979"/>
    <w:rsid w:val="00357687"/>
    <w:rsid w:val="00360577"/>
    <w:rsid w:val="00392869"/>
    <w:rsid w:val="003A3C03"/>
    <w:rsid w:val="003A79F6"/>
    <w:rsid w:val="003B255D"/>
    <w:rsid w:val="003B6D45"/>
    <w:rsid w:val="003B7DB5"/>
    <w:rsid w:val="003C2BF6"/>
    <w:rsid w:val="00412F5A"/>
    <w:rsid w:val="00416AC2"/>
    <w:rsid w:val="00417DF3"/>
    <w:rsid w:val="00446F17"/>
    <w:rsid w:val="00461073"/>
    <w:rsid w:val="00482693"/>
    <w:rsid w:val="00490EFF"/>
    <w:rsid w:val="00495119"/>
    <w:rsid w:val="004A418E"/>
    <w:rsid w:val="004B4ADD"/>
    <w:rsid w:val="004C17BB"/>
    <w:rsid w:val="004C32A4"/>
    <w:rsid w:val="004C689F"/>
    <w:rsid w:val="004E4F91"/>
    <w:rsid w:val="004E5678"/>
    <w:rsid w:val="004F1025"/>
    <w:rsid w:val="004F2F3B"/>
    <w:rsid w:val="00512DD1"/>
    <w:rsid w:val="005274C4"/>
    <w:rsid w:val="00532F75"/>
    <w:rsid w:val="00537E9E"/>
    <w:rsid w:val="005430CC"/>
    <w:rsid w:val="005461A0"/>
    <w:rsid w:val="00553D6B"/>
    <w:rsid w:val="00566837"/>
    <w:rsid w:val="005824AA"/>
    <w:rsid w:val="00583C37"/>
    <w:rsid w:val="00592D85"/>
    <w:rsid w:val="005A2D9D"/>
    <w:rsid w:val="005A7B94"/>
    <w:rsid w:val="005B6E40"/>
    <w:rsid w:val="005B7FAA"/>
    <w:rsid w:val="005C3FC9"/>
    <w:rsid w:val="005E4674"/>
    <w:rsid w:val="005E56B2"/>
    <w:rsid w:val="005F5E02"/>
    <w:rsid w:val="00625455"/>
    <w:rsid w:val="0063525F"/>
    <w:rsid w:val="00642276"/>
    <w:rsid w:val="0064687A"/>
    <w:rsid w:val="00651B69"/>
    <w:rsid w:val="00652AA0"/>
    <w:rsid w:val="006555EA"/>
    <w:rsid w:val="00655C7F"/>
    <w:rsid w:val="00656A18"/>
    <w:rsid w:val="00661281"/>
    <w:rsid w:val="00670F1A"/>
    <w:rsid w:val="00673F8B"/>
    <w:rsid w:val="00686D86"/>
    <w:rsid w:val="006941A2"/>
    <w:rsid w:val="006A7D50"/>
    <w:rsid w:val="006B0895"/>
    <w:rsid w:val="006B0A35"/>
    <w:rsid w:val="006C03FA"/>
    <w:rsid w:val="006C2776"/>
    <w:rsid w:val="006D58F3"/>
    <w:rsid w:val="006D6B0C"/>
    <w:rsid w:val="006E0EF3"/>
    <w:rsid w:val="006E60F9"/>
    <w:rsid w:val="006F0E8F"/>
    <w:rsid w:val="006F5CAE"/>
    <w:rsid w:val="00711640"/>
    <w:rsid w:val="00721476"/>
    <w:rsid w:val="00752F05"/>
    <w:rsid w:val="00756169"/>
    <w:rsid w:val="00767E7C"/>
    <w:rsid w:val="007723F7"/>
    <w:rsid w:val="007752D9"/>
    <w:rsid w:val="00775D4C"/>
    <w:rsid w:val="007A2663"/>
    <w:rsid w:val="007A30D9"/>
    <w:rsid w:val="007B25B0"/>
    <w:rsid w:val="007C2548"/>
    <w:rsid w:val="007C6B3A"/>
    <w:rsid w:val="007C7BD8"/>
    <w:rsid w:val="007D4008"/>
    <w:rsid w:val="007D5ABD"/>
    <w:rsid w:val="007D7C69"/>
    <w:rsid w:val="007F1048"/>
    <w:rsid w:val="007F472A"/>
    <w:rsid w:val="0081074B"/>
    <w:rsid w:val="00810FE1"/>
    <w:rsid w:val="008122B1"/>
    <w:rsid w:val="0081269F"/>
    <w:rsid w:val="00830CFA"/>
    <w:rsid w:val="008367BA"/>
    <w:rsid w:val="00857663"/>
    <w:rsid w:val="00864377"/>
    <w:rsid w:val="0088179D"/>
    <w:rsid w:val="00884F95"/>
    <w:rsid w:val="00885AE3"/>
    <w:rsid w:val="00897097"/>
    <w:rsid w:val="008B4546"/>
    <w:rsid w:val="008B7070"/>
    <w:rsid w:val="008C741B"/>
    <w:rsid w:val="008D248C"/>
    <w:rsid w:val="008D685A"/>
    <w:rsid w:val="008E13B7"/>
    <w:rsid w:val="008F2FBE"/>
    <w:rsid w:val="008F3D30"/>
    <w:rsid w:val="00916359"/>
    <w:rsid w:val="00953412"/>
    <w:rsid w:val="00967EBB"/>
    <w:rsid w:val="00971FC6"/>
    <w:rsid w:val="00973520"/>
    <w:rsid w:val="0097353A"/>
    <w:rsid w:val="00976EA9"/>
    <w:rsid w:val="009B27E1"/>
    <w:rsid w:val="009B5791"/>
    <w:rsid w:val="009B74DA"/>
    <w:rsid w:val="009C0395"/>
    <w:rsid w:val="009C0A4C"/>
    <w:rsid w:val="009C224B"/>
    <w:rsid w:val="009D586F"/>
    <w:rsid w:val="009F0F81"/>
    <w:rsid w:val="00A0390A"/>
    <w:rsid w:val="00A07273"/>
    <w:rsid w:val="00A353DA"/>
    <w:rsid w:val="00A42F06"/>
    <w:rsid w:val="00A45B45"/>
    <w:rsid w:val="00A55E9C"/>
    <w:rsid w:val="00A75306"/>
    <w:rsid w:val="00A81CFB"/>
    <w:rsid w:val="00A83C6E"/>
    <w:rsid w:val="00A87B6C"/>
    <w:rsid w:val="00A903F8"/>
    <w:rsid w:val="00A9143B"/>
    <w:rsid w:val="00A93DA3"/>
    <w:rsid w:val="00A94C48"/>
    <w:rsid w:val="00A96513"/>
    <w:rsid w:val="00AA0D2B"/>
    <w:rsid w:val="00AA32CF"/>
    <w:rsid w:val="00AA4929"/>
    <w:rsid w:val="00AC1D65"/>
    <w:rsid w:val="00AC25C0"/>
    <w:rsid w:val="00AC53FA"/>
    <w:rsid w:val="00AC72E3"/>
    <w:rsid w:val="00AD2F61"/>
    <w:rsid w:val="00AD3BD7"/>
    <w:rsid w:val="00AE11DA"/>
    <w:rsid w:val="00B03202"/>
    <w:rsid w:val="00B06A79"/>
    <w:rsid w:val="00B07BED"/>
    <w:rsid w:val="00B27C2A"/>
    <w:rsid w:val="00B406C3"/>
    <w:rsid w:val="00B41979"/>
    <w:rsid w:val="00B42550"/>
    <w:rsid w:val="00B61FA6"/>
    <w:rsid w:val="00B6757E"/>
    <w:rsid w:val="00B846B6"/>
    <w:rsid w:val="00B90C27"/>
    <w:rsid w:val="00BB43CD"/>
    <w:rsid w:val="00BC21E6"/>
    <w:rsid w:val="00BD553A"/>
    <w:rsid w:val="00BE106C"/>
    <w:rsid w:val="00BE12DC"/>
    <w:rsid w:val="00C12E49"/>
    <w:rsid w:val="00C151FC"/>
    <w:rsid w:val="00C16677"/>
    <w:rsid w:val="00C204DB"/>
    <w:rsid w:val="00C250A7"/>
    <w:rsid w:val="00C322C4"/>
    <w:rsid w:val="00C368B9"/>
    <w:rsid w:val="00C460FD"/>
    <w:rsid w:val="00C51EC5"/>
    <w:rsid w:val="00C56B75"/>
    <w:rsid w:val="00C5718E"/>
    <w:rsid w:val="00C628AC"/>
    <w:rsid w:val="00C67E4C"/>
    <w:rsid w:val="00C848BB"/>
    <w:rsid w:val="00C977A1"/>
    <w:rsid w:val="00CB593E"/>
    <w:rsid w:val="00CB7261"/>
    <w:rsid w:val="00CC5187"/>
    <w:rsid w:val="00CD5754"/>
    <w:rsid w:val="00CF1198"/>
    <w:rsid w:val="00D026F1"/>
    <w:rsid w:val="00D15894"/>
    <w:rsid w:val="00D22A25"/>
    <w:rsid w:val="00D2762B"/>
    <w:rsid w:val="00D336E0"/>
    <w:rsid w:val="00D378C3"/>
    <w:rsid w:val="00D37DA9"/>
    <w:rsid w:val="00D53DE5"/>
    <w:rsid w:val="00D54D3A"/>
    <w:rsid w:val="00D57129"/>
    <w:rsid w:val="00D6403B"/>
    <w:rsid w:val="00D65004"/>
    <w:rsid w:val="00D71353"/>
    <w:rsid w:val="00D76550"/>
    <w:rsid w:val="00DA1AB2"/>
    <w:rsid w:val="00DB2278"/>
    <w:rsid w:val="00DB34C3"/>
    <w:rsid w:val="00DD7D5C"/>
    <w:rsid w:val="00DE616B"/>
    <w:rsid w:val="00DF56F1"/>
    <w:rsid w:val="00E02F8A"/>
    <w:rsid w:val="00E03B3A"/>
    <w:rsid w:val="00E14676"/>
    <w:rsid w:val="00E15DBA"/>
    <w:rsid w:val="00E25A9C"/>
    <w:rsid w:val="00E45406"/>
    <w:rsid w:val="00E51046"/>
    <w:rsid w:val="00E52E9D"/>
    <w:rsid w:val="00E54967"/>
    <w:rsid w:val="00E6146D"/>
    <w:rsid w:val="00E647D9"/>
    <w:rsid w:val="00E720E1"/>
    <w:rsid w:val="00E75677"/>
    <w:rsid w:val="00E76DC8"/>
    <w:rsid w:val="00E846DD"/>
    <w:rsid w:val="00EA00F5"/>
    <w:rsid w:val="00EA21D3"/>
    <w:rsid w:val="00EB25ED"/>
    <w:rsid w:val="00EB4D5E"/>
    <w:rsid w:val="00EC305B"/>
    <w:rsid w:val="00ED4A21"/>
    <w:rsid w:val="00EE0FA2"/>
    <w:rsid w:val="00EF1584"/>
    <w:rsid w:val="00F03FCC"/>
    <w:rsid w:val="00F04696"/>
    <w:rsid w:val="00F23FDB"/>
    <w:rsid w:val="00F260B9"/>
    <w:rsid w:val="00F37271"/>
    <w:rsid w:val="00F4291A"/>
    <w:rsid w:val="00F5495C"/>
    <w:rsid w:val="00F608FE"/>
    <w:rsid w:val="00F739ED"/>
    <w:rsid w:val="00F8232D"/>
    <w:rsid w:val="00F83F89"/>
    <w:rsid w:val="00F9474E"/>
    <w:rsid w:val="00FA6306"/>
    <w:rsid w:val="00FB0119"/>
    <w:rsid w:val="00FC2420"/>
    <w:rsid w:val="00FC6098"/>
    <w:rsid w:val="00FD22D7"/>
    <w:rsid w:val="00FD7558"/>
    <w:rsid w:val="00FE2C09"/>
    <w:rsid w:val="00FE5E90"/>
    <w:rsid w:val="00FE67D7"/>
    <w:rsid w:val="00FF3B2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9C213"/>
  <w15:docId w15:val="{C22E9CA8-A4F2-45D1-8086-ABB15E3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ED"/>
    <w:rPr>
      <w:spacing w:val="-2"/>
      <w:sz w:val="24"/>
      <w:lang w:val="en-GB"/>
    </w:rPr>
  </w:style>
  <w:style w:type="paragraph" w:styleId="Heading1">
    <w:name w:val="heading 1"/>
    <w:basedOn w:val="Normal"/>
    <w:next w:val="Normal"/>
    <w:qFormat/>
    <w:rsid w:val="00F739ED"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F739ED"/>
    <w:pPr>
      <w:keepNext/>
      <w:numPr>
        <w:ilvl w:val="1"/>
        <w:numId w:val="1"/>
      </w:numPr>
      <w:spacing w:before="240" w:after="6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39E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739ED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739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739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739E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739E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739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739ED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F739ED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F739ED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F739ED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F739ED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F739ED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F739ED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F739ED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F739ED"/>
    <w:pPr>
      <w:ind w:left="1600"/>
    </w:pPr>
    <w:rPr>
      <w:sz w:val="18"/>
    </w:rPr>
  </w:style>
  <w:style w:type="paragraph" w:styleId="Index1">
    <w:name w:val="index 1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F739E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739ED"/>
  </w:style>
  <w:style w:type="character" w:customStyle="1" w:styleId="EquationCaption">
    <w:name w:val="_Equation Caption"/>
    <w:rsid w:val="00F739ED"/>
  </w:style>
  <w:style w:type="paragraph" w:styleId="Header">
    <w:name w:val="header"/>
    <w:basedOn w:val="Normal"/>
    <w:link w:val="HeaderChar"/>
    <w:rsid w:val="00F739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739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739ED"/>
  </w:style>
  <w:style w:type="paragraph" w:styleId="BodyTextIndent">
    <w:name w:val="Body Text Indent"/>
    <w:basedOn w:val="Normal"/>
    <w:semiHidden/>
    <w:rsid w:val="00F739ED"/>
    <w:pPr>
      <w:suppressAutoHyphens/>
      <w:ind w:left="1440" w:hanging="720"/>
    </w:pPr>
    <w:rPr>
      <w:lang w:val="en-US"/>
    </w:rPr>
  </w:style>
  <w:style w:type="paragraph" w:styleId="BodyTextIndent2">
    <w:name w:val="Body Text Indent 2"/>
    <w:basedOn w:val="Normal"/>
    <w:semiHidden/>
    <w:rsid w:val="00F739ED"/>
    <w:pPr>
      <w:tabs>
        <w:tab w:val="left" w:pos="1418"/>
      </w:tabs>
      <w:suppressAutoHyphens/>
      <w:ind w:left="1418" w:hanging="698"/>
    </w:pPr>
    <w:rPr>
      <w:lang w:val="en-US"/>
    </w:rPr>
  </w:style>
  <w:style w:type="paragraph" w:styleId="BodyTextIndent3">
    <w:name w:val="Body Text Indent 3"/>
    <w:basedOn w:val="Normal"/>
    <w:semiHidden/>
    <w:rsid w:val="00F739ED"/>
    <w:pPr>
      <w:ind w:left="2127"/>
    </w:pPr>
    <w:rPr>
      <w:spacing w:val="0"/>
    </w:rPr>
  </w:style>
  <w:style w:type="character" w:styleId="Hyperlink">
    <w:name w:val="Hyperlink"/>
    <w:basedOn w:val="DefaultParagraphFont"/>
    <w:semiHidden/>
    <w:rsid w:val="00F739ED"/>
    <w:rPr>
      <w:color w:val="0000FF"/>
      <w:u w:val="single"/>
    </w:rPr>
  </w:style>
  <w:style w:type="paragraph" w:styleId="BalloonText">
    <w:name w:val="Balloon Text"/>
    <w:basedOn w:val="Normal"/>
    <w:semiHidden/>
    <w:rsid w:val="00F739E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F739ED"/>
    <w:pPr>
      <w:ind w:left="1418" w:right="-187" w:hanging="709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C12E49"/>
    <w:rPr>
      <w:spacing w:val="-2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12E49"/>
    <w:rPr>
      <w:spacing w:val="-2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12E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60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5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577"/>
    <w:rPr>
      <w:spacing w:val="-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77"/>
    <w:rPr>
      <w:b/>
      <w:bCs/>
      <w:spacing w:val="-2"/>
      <w:lang w:val="en-GB"/>
    </w:rPr>
  </w:style>
  <w:style w:type="paragraph" w:styleId="Revision">
    <w:name w:val="Revision"/>
    <w:hidden/>
    <w:uiPriority w:val="99"/>
    <w:semiHidden/>
    <w:rsid w:val="00360577"/>
    <w:rPr>
      <w:spacing w:val="-2"/>
      <w:sz w:val="24"/>
      <w:lang w:val="en-GB"/>
    </w:rPr>
  </w:style>
  <w:style w:type="table" w:styleId="TableGrid">
    <w:name w:val="Table Grid"/>
    <w:basedOn w:val="TableNormal"/>
    <w:rsid w:val="00EF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C25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5C0"/>
    <w:rPr>
      <w:spacing w:val="-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Job Description</vt:lpstr>
    </vt:vector>
  </TitlesOfParts>
  <Company>MESL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Job Description</dc:title>
  <dc:subject/>
  <dc:creator>Emma Christie</dc:creator>
  <cp:keywords/>
  <dc:description/>
  <cp:lastModifiedBy>Christine Cochrane</cp:lastModifiedBy>
  <cp:revision>2</cp:revision>
  <cp:lastPrinted>2010-09-08T17:34:00Z</cp:lastPrinted>
  <dcterms:created xsi:type="dcterms:W3CDTF">2026-01-09T09:58:00Z</dcterms:created>
  <dcterms:modified xsi:type="dcterms:W3CDTF">2026-01-09T09:58:00Z</dcterms:modified>
</cp:coreProperties>
</file>